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Отчет о рисках для совета директоров</w:t>
      </w:r>
    </w:p>
    <w:p>
      <w:r>
        <w:rPr>
          <w:i/>
        </w:rPr>
        <w:t>Структура квартального отчета на 8-10 страниц. Разделы в порядке чтения: сначала решения, затем обоснования.</w:t>
      </w:r>
    </w:p>
    <w:p>
      <w:r>
        <w:rPr>
          <w:sz w:val="20"/>
        </w:rPr>
        <w:t>Как пользоваться. Текст в квадратных скобках заменяется на данные организации. Разделы с пометкой «при необходимости» удаляются, если неприменимы. Перед утверждением документ проверяют юридическая служба и внутренний аудит.</w:t>
      </w:r>
    </w:p>
    <w:p>
      <w:pPr>
        <w:pStyle w:val="Heading1"/>
      </w:pPr>
      <w:r>
        <w:rPr>
          <w:color w:val="1B2A4A"/>
        </w:rPr>
        <w:t>1. Решения, которые ждут от совета (одна страница)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Вопрос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Предлагаемое решение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Что будет, если решение отложить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[Превышение лимита концентрации на поставщике X]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[Одобрить бюджет на квалификацию второго поставщика, сумма]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[Простой до 3 недель при сбое поставщика, оценка потерь]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2. Сводная картина (одна страница)</w:t>
      </w:r>
    </w:p>
    <w:p>
      <w:pPr>
        <w:pStyle w:val="ListBullet"/>
      </w:pPr>
      <w:r>
        <w:t>Карта рисков: распределение по зонам, стрелки изменений за квартал</w:t>
      </w:r>
    </w:p>
    <w:p>
      <w:pPr>
        <w:pStyle w:val="ListBullet"/>
      </w:pPr>
      <w:r>
        <w:t>Число рисков по зонам: красная [ ], оранжевая [ ], желтая [ ], зеленая [ ]</w:t>
      </w:r>
    </w:p>
    <w:p>
      <w:pPr>
        <w:pStyle w:val="ListBullet"/>
      </w:pPr>
      <w:r>
        <w:t>Соблюдение риск-аппетита: по каждой категории зеленый / желтый / красный статус</w:t>
      </w:r>
    </w:p>
    <w:p>
      <w:pPr>
        <w:pStyle w:val="ListBullet"/>
      </w:pPr>
      <w:r>
        <w:t>Три главных изменения за квартал одной строкой каждое</w:t>
      </w:r>
    </w:p>
    <w:p>
      <w:pPr>
        <w:pStyle w:val="Heading1"/>
      </w:pPr>
      <w:r>
        <w:rPr>
          <w:color w:val="1B2A4A"/>
        </w:rPr>
        <w:t>3. Ключевые риски (по одной странице на риск, не больше пяти)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Элемент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Содержание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Риск и владелец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[формулировка через событие, причину, последствие]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Оценка и динамика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[уровень сейчас, квартал назад, целевой; оценка в деньгах]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Индикаторы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[значения КИР, статус по порогам]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Меры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[выполнено, в работе, просрочено; причины просрочки]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Что нужно от совета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[решение, ресурс, или «только к сведению»]</w:t>
            </w:r>
          </w:p>
        </w:tc>
      </w:tr>
    </w:tbl>
    <w:p/>
    <w:p>
      <w:pPr>
        <w:pStyle w:val="Heading1"/>
      </w:pPr>
      <w:r>
        <w:rPr>
          <w:color w:val="1B2A4A"/>
        </w:rPr>
        <w:t>4. Реализовавшиеся риски и инциденты за квартал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20"/>
              </w:rPr>
              <w:t>Событие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Был ли в реестре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Ущерб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Причина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Что изменили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[да / нет]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[сумма]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  <w:t>[…]</w:t>
            </w:r>
          </w:p>
        </w:tc>
      </w:tr>
    </w:tbl>
    <w:p/>
    <w:p>
      <w:pPr>
        <w:pStyle w:val="Heading1"/>
      </w:pPr>
      <w:r>
        <w:rPr>
          <w:color w:val="1B2A4A"/>
        </w:rPr>
        <w:t>5. Новые и снятые риски</w:t>
      </w:r>
    </w:p>
    <w:p>
      <w:r>
        <w:t>[Перечень с краткой причиной включения или исключения.]</w:t>
      </w:r>
    </w:p>
    <w:p>
      <w:pPr>
        <w:pStyle w:val="Heading1"/>
      </w:pPr>
      <w:r>
        <w:rPr>
          <w:color w:val="1B2A4A"/>
        </w:rPr>
        <w:t>6. Состояние системы управления рисками</w:t>
      </w:r>
    </w:p>
    <w:p>
      <w:pPr>
        <w:pStyle w:val="ListBullet"/>
      </w:pPr>
      <w:r>
        <w:t>Доля рисков с назначенным владельцем, оценкой и мерой: [ %]</w:t>
      </w:r>
    </w:p>
    <w:p>
      <w:pPr>
        <w:pStyle w:val="ListBullet"/>
      </w:pPr>
      <w:r>
        <w:t>Доля мер, выполненных в срок: [ %]</w:t>
      </w:r>
    </w:p>
    <w:p>
      <w:pPr>
        <w:pStyle w:val="ListBullet"/>
      </w:pPr>
      <w:r>
        <w:t>Доля инцидентов, которые были в реестре до наступления: [ %]</w:t>
      </w:r>
    </w:p>
    <w:p>
      <w:pPr>
        <w:pStyle w:val="ListBullet"/>
      </w:pPr>
      <w:r>
        <w:t>Выполнение рекомендаций внутреннего аудита: [ из ]</w:t>
      </w:r>
    </w:p>
    <w:p>
      <w:pPr>
        <w:pStyle w:val="Heading1"/>
      </w:pPr>
      <w:r>
        <w:rPr>
          <w:color w:val="1B2A4A"/>
        </w:rPr>
        <w:t>Приложения (по запросу)</w:t>
      </w:r>
    </w:p>
    <w:p>
      <w:pPr>
        <w:pStyle w:val="ListBullet"/>
      </w:pPr>
      <w:r>
        <w:t>Полный реестр рисков</w:t>
      </w:r>
    </w:p>
    <w:p>
      <w:pPr>
        <w:pStyle w:val="ListBullet"/>
      </w:pPr>
      <w:r>
        <w:t>Паспорта рисков красной зоны</w:t>
      </w:r>
    </w:p>
    <w:p>
      <w:pPr>
        <w:pStyle w:val="ListBullet"/>
      </w:pPr>
      <w:r>
        <w:t>Перечень КИР со значениями за четыре квартала</w:t>
      </w:r>
    </w:p>
    <w:p>
      <w:pPr>
        <w:pStyle w:val="Heading1"/>
      </w:pPr>
      <w:r>
        <w:rPr>
          <w:color w:val="1B2A4A"/>
        </w:rPr>
        <w:t>Правила подготовки</w:t>
      </w:r>
    </w:p>
    <w:p>
      <w:pPr>
        <w:pStyle w:val="ListBullet"/>
      </w:pPr>
      <w:r>
        <w:t>Отчет читается за 20 минут; все, что дольше, уходит в приложения.</w:t>
      </w:r>
    </w:p>
    <w:p>
      <w:pPr>
        <w:pStyle w:val="ListBullet"/>
      </w:pPr>
      <w:r>
        <w:t>Каждый раздел заканчивается вопросом к совету или пометкой «к сведению».</w:t>
      </w:r>
    </w:p>
    <w:p>
      <w:pPr>
        <w:pStyle w:val="ListBullet"/>
      </w:pPr>
      <w:r>
        <w:t>Цифры даются в сравнении с прошлым кварталом и с риск-аппетитом.</w:t>
      </w:r>
    </w:p>
    <w:p>
      <w:pPr>
        <w:pStyle w:val="ListBullet"/>
      </w:pPr>
      <w:r>
        <w:t>Отчет направляется за [5 рабочих дней] до заседания.</w:t>
      </w:r>
    </w:p>
    <w:p>
      <w:r>
        <w:rPr>
          <w:color w:val="808080"/>
          <w:sz w:val="18"/>
        </w:rPr>
        <w:t>Шаблон подготовлен risk-place.ru, практика управления рисками Евгения Теленкова. Свободное использование внутри организации. Версия от 01.10.2026.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