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Паспорт риска</w:t>
      </w:r>
    </w:p>
    <w:p>
      <w:r>
        <w:rPr>
          <w:i/>
        </w:rPr>
        <w:t>Карточка одного ключевого риска. Заполняется владельцем риска, согласуется подразделением управления рисками, прилагается к реестру.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 с пометкой «при необходимости» удаляются, если неприменимы. Перед утверждением документ проверяют юридическая служба и внутренний аудит.</w:t>
      </w:r>
    </w:p>
    <w:p>
      <w:pPr>
        <w:pStyle w:val="Heading1"/>
      </w:pPr>
      <w:r>
        <w:rPr>
          <w:color w:val="1B2A4A"/>
        </w:rPr>
        <w:t>1. Идентификация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Поле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ID риска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[R-001]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Наименование (событие)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[Остановка производственной линии из-за отказа ключевого оборудования]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Категория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[Операционный]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Владелец риска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[должность, ФИО]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Связанные цели организации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[Выполнение плана отгрузок, EBITDA]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Дата выявления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[дата]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Источник выявления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[риск-сессия / инцидент / аудит / анализ]</w:t>
            </w:r>
          </w:p>
        </w:tc>
      </w:tr>
    </w:tbl>
    <w:p/>
    <w:p>
      <w:pPr>
        <w:pStyle w:val="Heading1"/>
      </w:pPr>
      <w:r>
        <w:rPr>
          <w:color w:val="1B2A4A"/>
        </w:rPr>
        <w:t>2. Описание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Элемент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Причины (что может привести к событию)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[Износ оборудования старше 15 лет; отсутствие резервных узлов; зависимость от одного сервисного подрядчика]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Последствия (что произойдет)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[Простой линии до 10 дней; срыв отгрузок на сумму до X; штрафы по договорам; переработки]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Признаки раннего предупреждения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[Рост числа внеплановых остановок; увеличение времени ремонта; отказ поставщика от поставки узлов]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Затронутые подразделения и процессы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[Производство, логистика, продажи]</w:t>
            </w:r>
          </w:p>
        </w:tc>
      </w:tr>
    </w:tbl>
    <w:p/>
    <w:p>
      <w:pPr>
        <w:pStyle w:val="Heading1"/>
      </w:pPr>
      <w:r>
        <w:rPr>
          <w:color w:val="1B2A4A"/>
        </w:rPr>
        <w:t>3. Оценка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Показатель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Присущий риск (без мер)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Остаточный риск (с существующими мерами)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Целевой уровень (после дополнительных мер)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Вероятность (1-5)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[4]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[3]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[2]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Влияние (1-5)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[4]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[4]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[3]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Уровень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[16, красная]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[12, оранжевая]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[6, желтая]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Оценка в деньгах (при необходимости)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[ожидаемые потери в год]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Обоснование оценки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[статистика остановок за 3 года, мнение главного инженера]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4. Существующие меры управления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Мера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Тип (предупреждающая / обнаруживающая / восстанавливающая)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Ответственный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Оценка эффективности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[Плановое ТО раз в квартал]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Предупреждающая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[Главный инженер]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[частично эффективна: остановки продолжаются]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[Мониторинг вибрации]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Обнаруживающая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</w:tr>
    </w:tbl>
    <w:p/>
    <w:p>
      <w:pPr>
        <w:pStyle w:val="Heading1"/>
      </w:pPr>
      <w:r>
        <w:rPr>
          <w:color w:val="1B2A4A"/>
        </w:rPr>
        <w:t>5. План дополнительных мер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Мера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Стратегия (снижение / передача / избежание / принятие)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Ответственный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Бюджет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Статус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[Закупка резервного узла]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Снижение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[сумма]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[в работе]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[Договор на срочный ремонт с SLA 48 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Передача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[сумма]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[не начато]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[Страхование перерыва в производстве]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Передача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[премия]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</w:tr>
    </w:tbl>
    <w:p/>
    <w:p>
      <w:pPr>
        <w:pStyle w:val="Heading1"/>
      </w:pPr>
      <w:r>
        <w:rPr>
          <w:color w:val="1B2A4A"/>
        </w:rPr>
        <w:t>6. Ключевые индикаторы риска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/>
            <w:r>
              <w:rPr>
                <w:b/>
                <w:sz w:val="20"/>
              </w:rPr>
              <w:t>Индикатор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Формула / источник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Зеленый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Желтый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Красный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Реакция на красный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[Внеплановые остановки линии]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[журнал производства]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Ежемесячно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[0-1]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[2]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[3 и больше]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  <w:t>[внеочередной доклад владельца, созыв комитета]</w:t>
            </w:r>
          </w:p>
        </w:tc>
      </w:tr>
    </w:tbl>
    <w:p/>
    <w:p>
      <w:pPr>
        <w:pStyle w:val="Heading1"/>
      </w:pPr>
      <w:r>
        <w:rPr>
          <w:color w:val="1B2A4A"/>
        </w:rPr>
        <w:t>7. История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Событие (пересмотр оценки, реализация риска, выполнение меры)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Кто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[дата]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[Паспорт утвержден]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[…]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8. Согласование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Должность, ФИО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Подпись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Дата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Владелец риска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Руководитель подразделения управления рисками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Утверждено (генеральный директор / комитет)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color w:val="808080"/>
          <w:sz w:val="18"/>
        </w:rPr>
        <w:t>Шаблон подготовлен risk-place.ru, практика управления рисками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