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Положение об управлении рисками</w:t>
      </w:r>
    </w:p>
    <w:p>
      <w:r>
        <w:rPr>
          <w:i/>
        </w:rPr>
        <w:t>[Наименование организации]. Утверждено [Советом директоров / Правлением], протокол № [ ] от [дата]. Разработано с учетом ГОСТ Р ИСО 31000-2019 и модели COSO ERM.</w:t>
      </w:r>
    </w:p>
    <w:p>
      <w:r>
        <w:rPr>
          <w:sz w:val="20"/>
        </w:rPr>
        <w:t>Как пользоваться. Текст в квадратных скобках заменяется на данные организации. Разделы с пометкой «при необходимости» удаляются, если неприменимы. Перед утверждением документ проверяют юридическая служба и внутренний аудит.</w:t>
      </w:r>
    </w:p>
    <w:p>
      <w:pPr>
        <w:pStyle w:val="Heading1"/>
      </w:pPr>
      <w:r>
        <w:rPr>
          <w:color w:val="1B2A4A"/>
        </w:rPr>
        <w:t>1. Общие положения</w:t>
      </w:r>
    </w:p>
    <w:p>
      <w:r>
        <w:t>1.1. Положение определяет цели, принципы, организационную структуру и процесс управления рисками в [организации], включая дочерние общества [при необходимости].</w:t>
      </w:r>
    </w:p>
    <w:p>
      <w:r>
        <w:t>1.2. Положение обязательно для всех работников. Требования положения конкретизируются в регламенте процесса управления рисками, методике оценки рисков и иных внутренних документах.</w:t>
      </w:r>
    </w:p>
    <w:p>
      <w:pPr>
        <w:pStyle w:val="Heading1"/>
      </w:pPr>
      <w:r>
        <w:rPr>
          <w:color w:val="1B2A4A"/>
        </w:rPr>
        <w:t>2. Термины и определения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Термин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Определение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Риск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Влияние неопределенности на цели организации; выражается через событие, его причины, вероятность и последствия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Управление рисками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Скоординированные действия по выявлению, оценке, реагированию и мониторингу рисков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Владелец риска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Руководитель, отвечающий за управление конкретным риском и наделенный полномочиями и ресурсами для этого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Риск-аппетит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Уровень риска, который организация готова принять для достижения целей, утвержденный советом директоров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Реестр рисков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Перечень выявленных рисков с оценками, владельцами, мерами и статусом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Ключевой индикатор риска (КИР)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Измеримый показатель, изменение которого сигнализирует о росте вероятности или последствий риска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Остаточный риск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Риск после применения существующих мер управления</w:t>
            </w:r>
          </w:p>
        </w:tc>
      </w:tr>
    </w:tbl>
    <w:p/>
    <w:p>
      <w:pPr>
        <w:pStyle w:val="Heading1"/>
      </w:pPr>
      <w:r>
        <w:rPr>
          <w:color w:val="1B2A4A"/>
        </w:rPr>
        <w:t>3. Цели и принципы</w:t>
      </w:r>
    </w:p>
    <w:p>
      <w:pPr>
        <w:pStyle w:val="ListBullet"/>
      </w:pPr>
      <w:r>
        <w:t>Цель: повышение вероятности достижения целей организации за счет своевременного выявления рисков и принятия обоснованных решений.</w:t>
      </w:r>
    </w:p>
    <w:p>
      <w:pPr>
        <w:pStyle w:val="ListBullet"/>
      </w:pPr>
      <w:r>
        <w:t>Интеграция: управление рисками встроено в планирование, бюджетирование, инвестиционные и операционные решения.</w:t>
      </w:r>
    </w:p>
    <w:p>
      <w:pPr>
        <w:pStyle w:val="ListBullet"/>
      </w:pPr>
      <w:r>
        <w:t>Ответственность владельца: за каждый значимый риск отвечает конкретный руководитель.</w:t>
      </w:r>
    </w:p>
    <w:p>
      <w:pPr>
        <w:pStyle w:val="ListBullet"/>
      </w:pPr>
      <w:r>
        <w:t>Соразмерность: глубина анализа и затраты на меры соответствуют значимости риска.</w:t>
      </w:r>
    </w:p>
    <w:p>
      <w:pPr>
        <w:pStyle w:val="ListBullet"/>
      </w:pPr>
      <w:r>
        <w:t>Основанность на данных: оценки опираются на статистику, экспертные суждения и сценарный анализ с документированием оснований.</w:t>
      </w:r>
    </w:p>
    <w:p>
      <w:pPr>
        <w:pStyle w:val="ListBullet"/>
      </w:pPr>
      <w:r>
        <w:t>Непрерывное совершенствование: процесс пересматривается по результатам инцидентов и аудита.</w:t>
      </w:r>
    </w:p>
    <w:p>
      <w:pPr>
        <w:pStyle w:val="Heading1"/>
      </w:pPr>
      <w:r>
        <w:rPr>
          <w:color w:val="1B2A4A"/>
        </w:rPr>
        <w:t>4. Организационная структура и распределение полномочий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Участник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Полномочия и ответственность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Совет директоров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Утверждает положение и риск-аппетит; рассматривает отчет о рисках не реже [раза в полгода]; оценивает эффективность системы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Комитет по рискам (при наличии)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Предварительно рассматривает отчеты, ключевые риски и меры; контролирует соблюдение риск-аппетита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Генеральный директор / Правление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Организует систему, утверждает реестр ключевых рисков и планы мер, выделяет ресурсы, назначает владельцев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Владельцы рисков (руководители подразделений)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Выявляют и оценивают риски своей зоны, реализуют меры, ведут КИР, отчитываются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Подразделение управления рисками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Методология, координация, сводный реестр, независимая оценка, отчетность, обучение участников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Внутренний аудит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Независимая оценка эффективности системы управления рисками, проверка выполнения мер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Все работники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Соблюдают процедуры, сообщают о событиях и признаках реализации рисков</w:t>
            </w:r>
          </w:p>
        </w:tc>
      </w:tr>
    </w:tbl>
    <w:p/>
    <w:p>
      <w:pPr>
        <w:pStyle w:val="Heading1"/>
      </w:pPr>
      <w:r>
        <w:rPr>
          <w:color w:val="1B2A4A"/>
        </w:rPr>
        <w:t>5. Процесс управления рисками</w:t>
      </w:r>
    </w:p>
    <w:p>
      <w:r>
        <w:t>5.1. Выявление. Риски выявляются при стратегическом планировании, бюджетировании, запуске проектов, изменении законодательства, после инцидентов и на регулярных риск-сессиях не реже [раза в год]. Риск формулируется через событие, причину и последствие.</w:t>
      </w:r>
    </w:p>
    <w:p>
      <w:r>
        <w:t>5.2. Оценка. Вероятность и влияние оцениваются по пятибалльным шкалам из методики оценки рисков; уровень риска определяется как произведение и относится к одной из четырех зон. Для рисков красной и оранжевой зон проводится количественная оценка в денежном выражении [при необходимости].</w:t>
      </w:r>
    </w:p>
    <w:p>
      <w:r>
        <w:t>5.3. Реагирование. Для каждого риска выше зеленой зоны владелец выбирает стратегию: снижение, передача, избежание, принятие. Меры включаются в план с ответственными, сроками и бюджетом.</w:t>
      </w:r>
    </w:p>
    <w:p>
      <w:r>
        <w:t>5.4. Мониторинг. Владельцы ведут ключевые индикаторы риска с пороговыми значениями; выход за порог влечет эскалацию по пункту 7.</w:t>
      </w:r>
    </w:p>
    <w:p>
      <w:r>
        <w:t>5.5. Пересмотр. Реестр пересматривается не реже [раза в квартал]; оценки рисков красной зоны не реже [раза в месяц].</w:t>
      </w:r>
    </w:p>
    <w:p>
      <w:pPr>
        <w:pStyle w:val="Heading1"/>
      </w:pPr>
      <w:r>
        <w:rPr>
          <w:color w:val="1B2A4A"/>
        </w:rPr>
        <w:t>6. Риск-аппетит</w:t>
      </w:r>
    </w:p>
    <w:p>
      <w:r>
        <w:t>Риск-аппетит утверждается советом директоров в форме заявления о риск-аппетите по категориям рисков с количественными лимитами и качественными формулировками. Соблюдение контролируется ежеквартально; превышение лимита требует решения совета.</w:t>
      </w:r>
    </w:p>
    <w:p>
      <w:pPr>
        <w:pStyle w:val="Heading1"/>
      </w:pPr>
      <w:r>
        <w:rPr>
          <w:color w:val="1B2A4A"/>
        </w:rPr>
        <w:t>7. Эскалация и отчетность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Событие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Кому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Срок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Риск попал в красную зону или КИР вышел за критический порог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Генеральный директор, подразделение УР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В течение [2 рабочих дней]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Реализация риска с ущербом свыше [сумма]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Генеральный директор, совет директоров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В течение [1 рабочего дня]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Квартальный отчет о рисках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Правление, комитет по рискам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До [15 числа] месяца, следующего за кварталом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Годовой отчет об эффективности системы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Совет директоров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До [1 марта]</w:t>
            </w:r>
          </w:p>
        </w:tc>
      </w:tr>
    </w:tbl>
    <w:p/>
    <w:p>
      <w:pPr>
        <w:pStyle w:val="Heading1"/>
      </w:pPr>
      <w:r>
        <w:rPr>
          <w:color w:val="1B2A4A"/>
        </w:rPr>
        <w:t>8. Документы системы управления рисками</w:t>
      </w:r>
    </w:p>
    <w:p>
      <w:pPr>
        <w:pStyle w:val="ListBullet"/>
      </w:pPr>
      <w:r>
        <w:t>Настоящее положение</w:t>
      </w:r>
    </w:p>
    <w:p>
      <w:pPr>
        <w:pStyle w:val="ListBullet"/>
      </w:pPr>
      <w:r>
        <w:t>Заявление о риск-аппетите</w:t>
      </w:r>
    </w:p>
    <w:p>
      <w:pPr>
        <w:pStyle w:val="ListBullet"/>
      </w:pPr>
      <w:r>
        <w:t>Регламент процесса управления рисками</w:t>
      </w:r>
    </w:p>
    <w:p>
      <w:pPr>
        <w:pStyle w:val="ListBullet"/>
      </w:pPr>
      <w:r>
        <w:t>Методика оценки рисков (шкалы, матрица, зоны)</w:t>
      </w:r>
    </w:p>
    <w:p>
      <w:pPr>
        <w:pStyle w:val="ListBullet"/>
      </w:pPr>
      <w:r>
        <w:t>Реестр рисков и паспорта ключевых рисков</w:t>
      </w:r>
    </w:p>
    <w:p>
      <w:pPr>
        <w:pStyle w:val="ListBullet"/>
      </w:pPr>
      <w:r>
        <w:t>Перечень ключевых индикаторов риска</w:t>
      </w:r>
    </w:p>
    <w:p>
      <w:pPr>
        <w:pStyle w:val="ListBullet"/>
      </w:pPr>
      <w:r>
        <w:t>Отчеты о рисках</w:t>
      </w:r>
    </w:p>
    <w:p>
      <w:pPr>
        <w:pStyle w:val="Heading1"/>
      </w:pPr>
      <w:r>
        <w:rPr>
          <w:color w:val="1B2A4A"/>
        </w:rPr>
        <w:t>9. Заключительные положения</w:t>
      </w:r>
    </w:p>
    <w:p>
      <w:r>
        <w:t>Положение пересматривается не реже одного раза в [два года] и при существенных изменениях стратегии, структуры или требований. Ответственный за актуализацию: [должность].</w:t>
      </w:r>
    </w:p>
    <w:p>
      <w:r>
        <w:rPr>
          <w:color w:val="808080"/>
          <w:sz w:val="18"/>
        </w:rPr>
        <w:t>Шаблон подготовлен risk-place.ru, практика управления рисками Евгения Теленкова. Свободное использование внутри организации. Версия от 01.10.2026.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