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40"/>
        </w:rPr>
        <w:t>Техническое задание на дашборд рисков</w:t>
      </w:r>
    </w:p>
    <w:p>
      <w:r>
        <w:rPr>
          <w:i/>
        </w:rPr>
        <w:t>[Наименование организации]. Назначение: единый экран состояния рисков для правления и владельцев рисков, обновляемый без ручной сборки отчета.</w:t>
      </w:r>
    </w:p>
    <w:p>
      <w:r>
        <w:rPr>
          <w:sz w:val="20"/>
        </w:rPr>
        <w:t>Как пользоваться. Текст в квадратных скобках заменяется на данные организации. Разделы с пометкой «при необходимости» удаляются, если неприменимы. Перед утверждением документ проверяют юридическая служба и внутренний аудит.</w:t>
      </w:r>
    </w:p>
    <w:p>
      <w:pPr>
        <w:pStyle w:val="Heading1"/>
      </w:pPr>
      <w:r>
        <w:rPr>
          <w:color w:val="1B2A4A"/>
        </w:rPr>
        <w:t>1. Цели</w:t>
      </w:r>
    </w:p>
    <w:p>
      <w:pPr>
        <w:pStyle w:val="ListBullet"/>
      </w:pPr>
      <w:r>
        <w:t>Показывать состояние ключевых рисков, индикаторов и мер в любой момент без запроса в подразделение управления рисками.</w:t>
      </w:r>
    </w:p>
    <w:p>
      <w:pPr>
        <w:pStyle w:val="ListBullet"/>
      </w:pPr>
      <w:r>
        <w:t>Сократить подготовку квартального отчета с [10] до [2] рабочих дней.</w:t>
      </w:r>
    </w:p>
    <w:p>
      <w:pPr>
        <w:pStyle w:val="ListBullet"/>
      </w:pPr>
      <w:r>
        <w:t>Обеспечить эскалацию: выход индикатора за порог виден владельцу и руководителю в день события.</w:t>
      </w:r>
    </w:p>
    <w:p>
      <w:pPr>
        <w:pStyle w:val="Heading1"/>
      </w:pPr>
      <w:r>
        <w:rPr>
          <w:color w:val="1B2A4A"/>
        </w:rPr>
        <w:t>2. Пользователи и права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20"/>
              </w:rPr>
              <w:t>Роль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Что видит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Что может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Совет директоров, правление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Сводный экран, ключевые риски, соблюдение риск-аппетита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Просмотр, комментарий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Владелец риска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Свои риски, индикаторы, меры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Обновление значений КИР и статусов мер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Подразделение управления рисками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Все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Администрирование, ввод оценок, настройка порогов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Внутренний аудит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Все, включая историю изменений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Просмотр</w:t>
            </w:r>
          </w:p>
        </w:tc>
      </w:tr>
    </w:tbl>
    <w:p/>
    <w:p>
      <w:pPr>
        <w:pStyle w:val="Heading1"/>
      </w:pPr>
      <w:r>
        <w:rPr>
          <w:color w:val="1B2A4A"/>
        </w:rPr>
        <w:t>3. Источники данных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Данные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Источник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Способ загрузки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Периодичность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Реестр рисков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[файл xlsx / система]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[загрузка файла / интеграция]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При изменении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Значения КИР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[ERP, HR, ИБ, журналы]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[ввод вручную владельцем / выгрузка]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По периодичности КИР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Статусы мер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[трекер задач / реестр]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Еженедельно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Инциденты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[база инцидентов]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Ежедневно</w:t>
            </w:r>
          </w:p>
        </w:tc>
      </w:tr>
    </w:tbl>
    <w:p/>
    <w:p>
      <w:pPr>
        <w:pStyle w:val="Heading1"/>
      </w:pPr>
      <w:r>
        <w:rPr>
          <w:color w:val="1B2A4A"/>
        </w:rPr>
        <w:t>4. Экраны и показатели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20"/>
              </w:rPr>
              <w:t>Экран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Содержание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Показатели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Сводный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Карта рисков 5×5, число рисков по зонам, статус риск-аппетита по категориям, пять главных рисков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Уровень, динамика за квартал, стрелки изменений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Риск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Паспорт риска: оценка, индикаторы, меры, история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Присущий, остаточный, целевой уровень; КИР за 12 месяцев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Индикаторы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Все КИР со значениями, порогами, статусом, трендом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Число красных и желтых, срабатывания за период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Меры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Перечень мер с ответственными, сроками, статусом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Доля выполненных в срок, просроченные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Инциденты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Реализовавшиеся риски и события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Ущерб, доля бывших в реестре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Отчет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Формирование квартального отчета по шаблону в pdf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Все вышеперечисленное за период</w:t>
            </w:r>
          </w:p>
        </w:tc>
      </w:tr>
    </w:tbl>
    <w:p/>
    <w:p>
      <w:pPr>
        <w:pStyle w:val="Heading1"/>
      </w:pPr>
      <w:r>
        <w:rPr>
          <w:color w:val="1B2A4A"/>
        </w:rPr>
        <w:t>5. Функциональные требования</w:t>
      </w:r>
    </w:p>
    <w:p>
      <w:pPr>
        <w:pStyle w:val="ListBullet"/>
      </w:pPr>
      <w:r>
        <w:t>Фильтры по категории, владельцу, подразделению, зоне, периоду.</w:t>
      </w:r>
    </w:p>
    <w:p>
      <w:pPr>
        <w:pStyle w:val="ListBullet"/>
      </w:pPr>
      <w:r>
        <w:t>История изменений оценок и статусов с датой и автором.</w:t>
      </w:r>
    </w:p>
    <w:p>
      <w:pPr>
        <w:pStyle w:val="ListBullet"/>
      </w:pPr>
      <w:r>
        <w:t>Уведомление владельца и руководителя при выходе КИР за порог и при просрочке меры: [почта / мессенджер].</w:t>
      </w:r>
    </w:p>
    <w:p>
      <w:pPr>
        <w:pStyle w:val="ListBullet"/>
      </w:pPr>
      <w:r>
        <w:t>Экспорт любого экрана в xlsx и pdf.</w:t>
      </w:r>
    </w:p>
    <w:p>
      <w:pPr>
        <w:pStyle w:val="ListBullet"/>
      </w:pPr>
      <w:r>
        <w:t>Работа на мобильном устройстве для сводного экрана.</w:t>
      </w:r>
    </w:p>
    <w:p>
      <w:pPr>
        <w:pStyle w:val="Heading1"/>
      </w:pPr>
      <w:r>
        <w:rPr>
          <w:color w:val="1B2A4A"/>
        </w:rPr>
        <w:t>6. Нефункциональные требования</w:t>
      </w:r>
    </w:p>
    <w:p>
      <w:pPr>
        <w:pStyle w:val="ListBullet"/>
      </w:pPr>
      <w:r>
        <w:t>Хранение данных на территории [страны]; доступ по корпоративной учетной записи; журнал доступа.</w:t>
      </w:r>
    </w:p>
    <w:p>
      <w:pPr>
        <w:pStyle w:val="ListBullet"/>
      </w:pPr>
      <w:r>
        <w:t>Время загрузки экрана до [3 секунд] при [100] рисках и [50] индикаторах.</w:t>
      </w:r>
    </w:p>
    <w:p>
      <w:pPr>
        <w:pStyle w:val="ListBullet"/>
      </w:pPr>
      <w:r>
        <w:t>Резервное копирование ежедневно, восстановление в пределах [1 рабочего дня].</w:t>
      </w:r>
    </w:p>
    <w:p>
      <w:pPr>
        <w:pStyle w:val="Heading1"/>
      </w:pPr>
      <w:r>
        <w:rPr>
          <w:color w:val="1B2A4A"/>
        </w:rPr>
        <w:t>7. Этапы и приемка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Этап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Результат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Срок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Критерий приемки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1. Макет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Макеты экранов, согласованные с правлением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[2 недели]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Подписанный протокол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2. Загрузка данных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Реестр, КИР, меры загружены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[2 недели]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Совпадение с реестром на 100 %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3. Опытная эксплуатация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Один квартал параллельно с отчетом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[3 месяца]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Отчет сформирован из дашборда за 2 дня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4. Ввод в эксплуатацию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Отказ от ручного отчета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Решение правления</w:t>
            </w:r>
          </w:p>
        </w:tc>
      </w:tr>
    </w:tbl>
    <w:p/>
    <w:p>
      <w:pPr>
        <w:pStyle w:val="Heading1"/>
      </w:pPr>
      <w:r>
        <w:rPr>
          <w:color w:val="1B2A4A"/>
        </w:rPr>
        <w:t>8. Варианты реализации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Вариант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Плюсы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Минусы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Когда подходит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Excel / Google-таблица с макросами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Быстро, без бюджета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Нет прав доступа и уведомлений, ломается при росте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До 30 рисков, один администратор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BI-система (Power BI, Yandex DataLens, Superset)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Визуализация, права, обновление из источников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Нужен аналитик, ввод данных остается вне системы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Есть BI и аналитик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Готовый инструмент управления рисками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Ввод, история, уведомления, отчет из коробки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Лицензия, внедрение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От 50 рисков, несколько владельцев</w:t>
            </w:r>
          </w:p>
        </w:tc>
      </w:tr>
    </w:tbl>
    <w:p/>
    <w:p>
      <w:r>
        <w:rPr>
          <w:color w:val="808080"/>
          <w:sz w:val="18"/>
        </w:rPr>
        <w:t>Шаблон подготовлен risk-place.ru, практика управления рисками Евгения Теленкова. Свободное использование внутри организации. Версия от 01.10.2026.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