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Заявление о риск-аппетите</w:t>
      </w:r>
    </w:p>
    <w:p>
      <w:r>
        <w:rPr>
          <w:i/>
        </w:rPr>
        <w:t>[Наименование организации]. Утверждено Советом директоров, протокол № [ ] от [дата]. Является частью системы управления рисками согласно Положению об управлении рисками.</w:t>
      </w:r>
    </w:p>
    <w:p>
      <w:r>
        <w:rPr>
          <w:sz w:val="20"/>
        </w:rPr>
        <w:t>Как пользоваться. Текст в квадратных скобках заменяется на данные организации. Разделы с пометкой «при необходимости» удаляются, если неприменимы. Перед утверждением документ проверяют юридическая служба и внутренний аудит.</w:t>
      </w:r>
    </w:p>
    <w:p>
      <w:pPr>
        <w:pStyle w:val="Heading1"/>
      </w:pPr>
      <w:r>
        <w:rPr>
          <w:color w:val="1B2A4A"/>
        </w:rPr>
        <w:t>1. Назначение</w:t>
      </w:r>
    </w:p>
    <w:p>
      <w:r>
        <w:t>Заявление определяет уровень риска, который [организация] готова принимать для достижения стратегических целей на [период], и устанавливает границы, в пределах которых исполнительные органы принимают решения самостоятельно.</w:t>
      </w:r>
    </w:p>
    <w:p>
      <w:pPr>
        <w:pStyle w:val="Heading1"/>
      </w:pPr>
      <w:r>
        <w:rPr>
          <w:color w:val="1B2A4A"/>
        </w:rPr>
        <w:t>2. Общая формулировка</w:t>
      </w:r>
    </w:p>
    <w:p>
      <w:r>
        <w:t>[Организация] принимает умеренный уровень риска в основной деятельности ради роста [выручки / доли рынка] и минимальный уровень риска в вопросах безопасности людей, соблюдения законодательства и защиты данных клиентов. Решения, выходящие за границы раздела 3, принимаются только Советом директоров.</w:t>
      </w:r>
    </w:p>
    <w:p>
      <w:pPr>
        <w:pStyle w:val="Heading1"/>
      </w:pPr>
      <w:r>
        <w:rPr>
          <w:color w:val="1B2A4A"/>
        </w:rPr>
        <w:t>3. Риск-аппетит по категориям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Категория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Качественная формулировка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Количественный лимит (толерантность)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Метрика и периодичность контроля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Стратегический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Открыты к новым рынкам и продуктам при условии возврата инвестиций в [3 года]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Инвестиции в новые направления до [X % EBITDA] в год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Доля инвестиций, ежеквартально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Финансовый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Сохраняем финансовую устойчивость при любом сценарии рынка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Чистый долг / EBITDA не выше [2,5]; ликвидность не ниже [3 месяцев] расходов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Коэффициенты, ежемесячно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Операционный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Допускаем кратковременные сбои, исключаем остановку критичных процессов дольше допустимого времени простоя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Простой критичного процесса не дольше [24 часов]; потери от операционных событий до [X] в год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Реестр инцидентов, ежемесячно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Комплаенс и правовой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Нулевая терпимость к нарушениям закона, санкционного режима и антикоррупционных требований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Ноль существенных нарушений; штрафы до [сумма] в год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Реестр нарушений, ежеквартально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Безопасность людей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Нулевая терпимость к травмам с потерей трудоспособности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LTIFR не выше [значение]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Статистика ОТ, ежемесячно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Информационная безопасность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Исключаем утечку данных клиентов и остановку систем из-за атак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Ноль утечек персональных данных; критичные уязвимости закрываются в [30 дней]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Отчет ИБ, ежемесячно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Репутационный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Избегаем действий, подрывающих доверие клиентов и партнеров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Ноль публичных инцидентов, подтвержденных регулятором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Мониторинг, ежеквартально</w:t>
            </w:r>
          </w:p>
        </w:tc>
      </w:tr>
    </w:tbl>
    <w:p/>
    <w:p>
      <w:pPr>
        <w:pStyle w:val="Heading1"/>
      </w:pPr>
      <w:r>
        <w:rPr>
          <w:color w:val="1B2A4A"/>
        </w:rPr>
        <w:t>4. Правила применения</w:t>
      </w:r>
    </w:p>
    <w:p>
      <w:pPr>
        <w:pStyle w:val="ListBullet"/>
      </w:pPr>
      <w:r>
        <w:t>Лимиты раздела 3 это границы, а не цели: приближение к границе требует обсуждения на правлении, превышение — решения совета.</w:t>
      </w:r>
    </w:p>
    <w:p>
      <w:pPr>
        <w:pStyle w:val="ListBullet"/>
      </w:pPr>
      <w:r>
        <w:t>Решение, которое переводит риск в красную зону матрицы, принимается только с одобрения совета директоров.</w:t>
      </w:r>
    </w:p>
    <w:p>
      <w:pPr>
        <w:pStyle w:val="ListBullet"/>
      </w:pPr>
      <w:r>
        <w:t>Владельцы рисков учитывают риск-аппетит при планировании мер: для рисков в пределах аппетита достаточно мониторинга.</w:t>
      </w:r>
    </w:p>
    <w:p>
      <w:pPr>
        <w:pStyle w:val="ListBullet"/>
      </w:pPr>
      <w:r>
        <w:t>Подразделение управления рисками ежеквартально докладывает о соблюдении лимитов, факты превышений выносятся отдельной строкой.</w:t>
      </w:r>
    </w:p>
    <w:p>
      <w:pPr>
        <w:pStyle w:val="Heading1"/>
      </w:pPr>
      <w:r>
        <w:rPr>
          <w:color w:val="1B2A4A"/>
        </w:rPr>
        <w:t>5. Пересмотр</w:t>
      </w:r>
    </w:p>
    <w:p>
      <w:r>
        <w:t>Заявление пересматривается ежегодно при утверждении стратегии и бюджета, а также при существенных изменениях внешней среды. Ответственный за подготовку пересмотра: [должность].</w:t>
      </w:r>
    </w:p>
    <w:p>
      <w:r>
        <w:rPr>
          <w:color w:val="808080"/>
          <w:sz w:val="18"/>
        </w:rPr>
        <w:t>Шаблон подготовлен risk-place.ru, практика управления рисками Евгения Теленкова. Свободное использование внутри организации. Версия от 01.10.2026.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